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54" w:rsidRDefault="00984E3A">
      <w:r>
        <w:t xml:space="preserve">Die Haushaltssatzung der Stadt Hof für das Jahr 2022 wurde am 17.03.2022 beschlossen. Die Regierung von Oberfranken hat derzeit eine Genehmigung der darin enthaltenen Kreditaufnahmen sowie der Verpflichtungsermächtigen nicht erteilt. </w:t>
      </w:r>
      <w:bookmarkStart w:id="0" w:name="_GoBack"/>
      <w:bookmarkEnd w:id="0"/>
    </w:p>
    <w:sectPr w:rsidR="00613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3A"/>
    <w:rsid w:val="00613454"/>
    <w:rsid w:val="009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D0B"/>
  <w15:chartTrackingRefBased/>
  <w15:docId w15:val="{4270A43A-1C77-401C-ADC3-6211A973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Hof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Peter</dc:creator>
  <cp:keywords/>
  <dc:description/>
  <cp:lastModifiedBy>Fischer Peter</cp:lastModifiedBy>
  <cp:revision>1</cp:revision>
  <dcterms:created xsi:type="dcterms:W3CDTF">2022-06-30T10:23:00Z</dcterms:created>
  <dcterms:modified xsi:type="dcterms:W3CDTF">2022-06-30T10:26:00Z</dcterms:modified>
</cp:coreProperties>
</file>